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D" w:rsidRPr="00B70801" w:rsidRDefault="0045631B" w:rsidP="00AB77DB">
      <w:pPr>
        <w:spacing w:line="360" w:lineRule="auto"/>
      </w:pPr>
      <w:r w:rsidRPr="00B70801">
        <w:t>Jakże dobry jest Bóg! Jak bardzo Stwórca tego świata troszczy się o nas</w:t>
      </w:r>
      <w:r w:rsidR="00D21DC4">
        <w:t xml:space="preserve"> i</w:t>
      </w:r>
      <w:r w:rsidRPr="00B70801">
        <w:t xml:space="preserve"> pragnie naszego </w:t>
      </w:r>
      <w:proofErr w:type="gramStart"/>
      <w:r w:rsidRPr="00B70801">
        <w:t xml:space="preserve">szczęścia. </w:t>
      </w:r>
      <w:proofErr w:type="gramEnd"/>
      <w:r w:rsidRPr="00B70801">
        <w:t>Bo nas kocha, bo On sam jest Miłością. Stał się człowiekiem, wziął krzyż</w:t>
      </w:r>
      <w:r w:rsidR="00D21DC4">
        <w:t>,</w:t>
      </w:r>
      <w:r w:rsidRPr="00B70801">
        <w:t xml:space="preserve"> umarł za nas! Bo jest Miłością! </w:t>
      </w:r>
      <w:r w:rsidR="006D0697">
        <w:t>P</w:t>
      </w:r>
      <w:r w:rsidRPr="00B70801">
        <w:t>okonał śmierć, zmartwychwstał i nas powołuje do zmartwychwstania – do wiecznego szczęścia. Bo jest Miłością.</w:t>
      </w:r>
    </w:p>
    <w:p w:rsidR="00A2068D" w:rsidRPr="00B70801" w:rsidRDefault="0045631B" w:rsidP="00D21DC4">
      <w:pPr>
        <w:spacing w:line="360" w:lineRule="auto"/>
      </w:pPr>
      <w:r w:rsidRPr="00B70801">
        <w:t>A my, ludzie</w:t>
      </w:r>
      <w:r w:rsidR="006D0697">
        <w:t>,</w:t>
      </w:r>
      <w:r w:rsidRPr="00B70801">
        <w:t xml:space="preserve"> </w:t>
      </w:r>
      <w:r w:rsidR="006D0697">
        <w:t>b</w:t>
      </w:r>
      <w:r w:rsidR="00B70801" w:rsidRPr="00B70801">
        <w:t>udujemy sobie złote cielce, którym oddajemy cześć</w:t>
      </w:r>
      <w:r w:rsidR="00B70801">
        <w:t>,</w:t>
      </w:r>
      <w:r w:rsidR="00B70801" w:rsidRPr="00B70801">
        <w:t xml:space="preserve"> </w:t>
      </w:r>
      <w:r w:rsidR="00B70801">
        <w:t>j</w:t>
      </w:r>
      <w:r w:rsidRPr="00B70801">
        <w:t xml:space="preserve">ak kiedyś Izraelici idący przez pustynię. Zmieniamy Boże prawa, lekceważymy przykazania. Oddalamy się od kochającego Ojca. </w:t>
      </w:r>
      <w:r w:rsidR="006D0697">
        <w:t>Lecz</w:t>
      </w:r>
      <w:r w:rsidRPr="00B70801">
        <w:t xml:space="preserve"> On nas nie zostawia! </w:t>
      </w:r>
      <w:r w:rsidR="00B70801">
        <w:t>J</w:t>
      </w:r>
      <w:r w:rsidRPr="00B70801">
        <w:t xml:space="preserve">ak do Izraelitów posyłał proroków, którzy wzywali do nawrócenia, tak i dziś daje </w:t>
      </w:r>
      <w:r w:rsidR="006D0697" w:rsidRPr="00B70801">
        <w:t xml:space="preserve">nam </w:t>
      </w:r>
      <w:r w:rsidRPr="00B70801">
        <w:t xml:space="preserve">mnóstwo znaków swojej bliskości i miłości, wciąż wzywając do </w:t>
      </w:r>
      <w:proofErr w:type="gramStart"/>
      <w:r w:rsidRPr="00B70801">
        <w:t xml:space="preserve">nawrócenia. </w:t>
      </w:r>
      <w:proofErr w:type="gramEnd"/>
      <w:r w:rsidRPr="00B70801">
        <w:t xml:space="preserve">Z pewnością do takich znaków należy </w:t>
      </w:r>
      <w:proofErr w:type="spellStart"/>
      <w:r w:rsidRPr="00B70801">
        <w:t>Med</w:t>
      </w:r>
      <w:r w:rsidR="00B70801">
        <w:t>zi</w:t>
      </w:r>
      <w:r w:rsidRPr="00B70801">
        <w:t>ugorje</w:t>
      </w:r>
      <w:proofErr w:type="spellEnd"/>
      <w:r w:rsidRPr="00B70801">
        <w:t xml:space="preserve">. </w:t>
      </w:r>
    </w:p>
    <w:p w:rsidR="00A2068D" w:rsidRPr="00B70801" w:rsidRDefault="0045631B" w:rsidP="00D21DC4">
      <w:pPr>
        <w:spacing w:line="360" w:lineRule="auto"/>
      </w:pPr>
      <w:proofErr w:type="spellStart"/>
      <w:r w:rsidRPr="00B70801">
        <w:t>Medjugorje</w:t>
      </w:r>
      <w:proofErr w:type="spellEnd"/>
      <w:r w:rsidRPr="00B70801">
        <w:t xml:space="preserve"> – któż nie słyszał o tej niewielkiej miejscowości w Bośni i Hercegowinie? Od 24 czerwca 1981 roku mają tam miejsce niespotykane zjawiska, które w bardzo prosty, a</w:t>
      </w:r>
      <w:r w:rsidR="00AB77DB">
        <w:t> </w:t>
      </w:r>
      <w:r w:rsidRPr="00B70801">
        <w:t>jednocześnie głęboki i wzruszający sposób przybliża film „</w:t>
      </w:r>
      <w:proofErr w:type="spellStart"/>
      <w:r w:rsidRPr="00B70801">
        <w:t>Med</w:t>
      </w:r>
      <w:r w:rsidR="00F51347">
        <w:t>zi</w:t>
      </w:r>
      <w:r w:rsidRPr="00B70801">
        <w:t>ugorje</w:t>
      </w:r>
      <w:proofErr w:type="spellEnd"/>
      <w:r w:rsidRPr="00B70801">
        <w:t>”.</w:t>
      </w:r>
    </w:p>
    <w:p w:rsidR="00B70801" w:rsidRDefault="0045631B" w:rsidP="00D21DC4">
      <w:pPr>
        <w:spacing w:line="360" w:lineRule="auto"/>
      </w:pPr>
      <w:r w:rsidRPr="00B70801">
        <w:t>Chyba wszyscy wierzący o nich słyszeli – o sześciu wybrańcach, którym objawia się Matka Boża. W 1981 roku byli niemal dziećmi – mieli od 10 do 16 lat</w:t>
      </w:r>
      <w:r w:rsidR="00B70801">
        <w:t>.</w:t>
      </w:r>
      <w:r w:rsidRPr="00B70801">
        <w:t xml:space="preserve"> </w:t>
      </w:r>
      <w:r w:rsidR="00B70801">
        <w:t>T</w:t>
      </w:r>
      <w:r w:rsidRPr="00B70801">
        <w:t>eraz są dorosłymi ludźmi, mają swoje rodziny i nadal doświadczają łaski rozmowy z Maryją. Kościół oficjalnie nie uznał tych objawień</w:t>
      </w:r>
      <w:r w:rsidR="00B70801">
        <w:t xml:space="preserve"> </w:t>
      </w:r>
      <w:r w:rsidRPr="00B70801">
        <w:t xml:space="preserve">– jeszcze nie może tego zrobić, </w:t>
      </w:r>
      <w:r w:rsidR="00F51347">
        <w:t>gdyż</w:t>
      </w:r>
      <w:r w:rsidRPr="00B70801">
        <w:t xml:space="preserve"> </w:t>
      </w:r>
      <w:r w:rsidR="00B70801">
        <w:t>one</w:t>
      </w:r>
      <w:r w:rsidRPr="00B70801">
        <w:t xml:space="preserve"> wciąż trwają. Jednak Urząd Nauczycielski Kościoła nie zabrania wiary w żywą i autentyczną obecność </w:t>
      </w:r>
      <w:r w:rsidR="006D0697">
        <w:t xml:space="preserve">tam </w:t>
      </w:r>
      <w:r w:rsidRPr="00B70801">
        <w:t xml:space="preserve">Matki Bożej. Zezwala też na publiczne nabożeństwa w miejscach objawień, a także na organizowanie pielgrzymek, które zaleca poddać opiece duszpasterskiej. Takie stanowisko, choć roztropnie </w:t>
      </w:r>
      <w:proofErr w:type="gramStart"/>
      <w:r w:rsidRPr="00B70801">
        <w:t>ostrożne</w:t>
      </w:r>
      <w:proofErr w:type="gramEnd"/>
      <w:r w:rsidRPr="00B70801">
        <w:t xml:space="preserve">, pokazuje, że Kościół </w:t>
      </w:r>
      <w:r w:rsidR="006D0697">
        <w:t>dostrzega</w:t>
      </w:r>
      <w:r w:rsidRPr="00B70801">
        <w:t xml:space="preserve"> Boż</w:t>
      </w:r>
      <w:r w:rsidR="00B70801">
        <w:t>ą interwencję</w:t>
      </w:r>
      <w:r w:rsidR="006D0697">
        <w:t xml:space="preserve"> w tym miejscu</w:t>
      </w:r>
      <w:r w:rsidR="00B70801">
        <w:t>, widzi jej owoce.</w:t>
      </w:r>
    </w:p>
    <w:p w:rsidR="00A2068D" w:rsidRPr="00B70801" w:rsidRDefault="0045631B" w:rsidP="00D21DC4">
      <w:pPr>
        <w:spacing w:line="360" w:lineRule="auto"/>
      </w:pPr>
      <w:r w:rsidRPr="00B70801">
        <w:t xml:space="preserve">Jakie to owoce? Przede wszystkim nawrócenia! W </w:t>
      </w:r>
      <w:proofErr w:type="spellStart"/>
      <w:r w:rsidRPr="00B70801">
        <w:t>Med</w:t>
      </w:r>
      <w:r w:rsidR="00F51347">
        <w:t>zi</w:t>
      </w:r>
      <w:r w:rsidRPr="00B70801">
        <w:t>ugorje</w:t>
      </w:r>
      <w:proofErr w:type="spellEnd"/>
      <w:r w:rsidRPr="00B70801">
        <w:t xml:space="preserve"> są konfesjonały, </w:t>
      </w:r>
      <w:r w:rsidR="006D0697">
        <w:t xml:space="preserve">gdzie można się wyspowiadać w różnych </w:t>
      </w:r>
      <w:r w:rsidRPr="00B70801">
        <w:t>język</w:t>
      </w:r>
      <w:r w:rsidR="006D0697">
        <w:t>ach</w:t>
      </w:r>
      <w:r w:rsidRPr="00B70801">
        <w:t>. Do każdego ustawia</w:t>
      </w:r>
      <w:r w:rsidR="006D0697">
        <w:t>ją się</w:t>
      </w:r>
      <w:r w:rsidRPr="00B70801">
        <w:t xml:space="preserve"> długie kolejki, ponieważ to miejsce, jego atmosfera i… niewątpliwe działanie Ducha Świętego sprawiają, że ludzie czują potrzebę przystąpienia do tego sakramentu</w:t>
      </w:r>
      <w:r w:rsidR="006D0697">
        <w:t>,</w:t>
      </w:r>
      <w:r w:rsidRPr="00B70801">
        <w:t xml:space="preserve"> </w:t>
      </w:r>
      <w:r w:rsidR="006D0697">
        <w:t>c</w:t>
      </w:r>
      <w:r w:rsidRPr="00B70801">
        <w:t xml:space="preserve">hoć wielu z nich wcześniej tego nie planowało, choć wielu przyjechało do </w:t>
      </w:r>
      <w:proofErr w:type="spellStart"/>
      <w:r w:rsidRPr="00B70801">
        <w:t>Med</w:t>
      </w:r>
      <w:r w:rsidR="00F51347">
        <w:t>zi</w:t>
      </w:r>
      <w:r w:rsidRPr="00B70801">
        <w:t>ugorje</w:t>
      </w:r>
      <w:proofErr w:type="spellEnd"/>
      <w:r w:rsidRPr="00B70801">
        <w:t xml:space="preserve"> tylko z ciekawości. Film przedstawia kilka świadectw </w:t>
      </w:r>
      <w:r w:rsidR="00F51347">
        <w:t>osób</w:t>
      </w:r>
      <w:r w:rsidRPr="00B70801">
        <w:t>, któr</w:t>
      </w:r>
      <w:r w:rsidR="00F51347">
        <w:t>e</w:t>
      </w:r>
      <w:r w:rsidRPr="00B70801">
        <w:t xml:space="preserve"> </w:t>
      </w:r>
      <w:r w:rsidR="00F51347">
        <w:t>u</w:t>
      </w:r>
      <w:r w:rsidRPr="00B70801">
        <w:t>klęk</w:t>
      </w:r>
      <w:r w:rsidR="00F51347">
        <w:t>nęły</w:t>
      </w:r>
      <w:r w:rsidRPr="00B70801">
        <w:t xml:space="preserve"> przed miłosiernym Panem nawet po 45 latach nieprzystępowania do sakramentów.</w:t>
      </w:r>
    </w:p>
    <w:p w:rsidR="00A2068D" w:rsidRPr="00B70801" w:rsidRDefault="0045631B" w:rsidP="00D21DC4">
      <w:pPr>
        <w:spacing w:line="360" w:lineRule="auto"/>
      </w:pPr>
      <w:r w:rsidRPr="00B70801">
        <w:t>Nawrócenie</w:t>
      </w:r>
      <w:r w:rsidR="006D0697">
        <w:t xml:space="preserve"> – cudowna chwila</w:t>
      </w:r>
      <w:r w:rsidRPr="00B70801">
        <w:t>, które</w:t>
      </w:r>
      <w:r w:rsidR="006D0697">
        <w:t>j</w:t>
      </w:r>
      <w:r w:rsidRPr="00B70801">
        <w:t xml:space="preserve"> nie sposób opisać. Nie nadaje się </w:t>
      </w:r>
      <w:r w:rsidR="00F51347">
        <w:t xml:space="preserve">to </w:t>
      </w:r>
      <w:r w:rsidRPr="00B70801">
        <w:t xml:space="preserve">na pierwsze strony gazet, nie szokuje. Nawet nie wzbudza podziwu i ciekawości, jak choćby cud uzdrowienia z jakiejś choroby. Dokonuje się w ciszy serca, w ciszy relacji między człowiekiem a Bogiem. Ale to właśnie jest ten moment, w którym człowiek wygrywa największą nagrodę – wieczność blisko Boga. Każdy z nas, każdy, kto popełnił jakikolwiek grzech, może </w:t>
      </w:r>
      <w:r w:rsidRPr="00B70801">
        <w:lastRenderedPageBreak/>
        <w:t xml:space="preserve">doświadczyć tego zwycięstwa – miłosierny Pan czeka w każdym konfesjonale. I ten akcent </w:t>
      </w:r>
      <w:r w:rsidR="00F51347">
        <w:t xml:space="preserve">położony </w:t>
      </w:r>
      <w:r w:rsidRPr="00B70801">
        <w:t xml:space="preserve">na moc i wagę sakramentu pokuty zdecydowanie wybrzmiewa z orędzia, które </w:t>
      </w:r>
      <w:proofErr w:type="gramStart"/>
      <w:r w:rsidRPr="00B70801">
        <w:t xml:space="preserve">płynie z </w:t>
      </w:r>
      <w:proofErr w:type="spellStart"/>
      <w:r w:rsidRPr="00B70801">
        <w:t>Med</w:t>
      </w:r>
      <w:r w:rsidR="00F51347">
        <w:t>zi</w:t>
      </w:r>
      <w:r w:rsidRPr="00B70801">
        <w:t>ugorje</w:t>
      </w:r>
      <w:proofErr w:type="spellEnd"/>
      <w:proofErr w:type="gramEnd"/>
      <w:r w:rsidRPr="00B70801">
        <w:t xml:space="preserve">. Bo w czasie objawień Maryja nie koncentruje uwagi na sobie – wskazuje na zbawczą obecność Jezusa. Podkreśla, że cud Eucharystii, który dzieje się na naszych oczach podczas każdej Mszy </w:t>
      </w:r>
      <w:r w:rsidR="006D0697">
        <w:t>Ś</w:t>
      </w:r>
      <w:r w:rsidRPr="00B70801">
        <w:t>więtej, jest wielkim przejawem Bożej miłości. I</w:t>
      </w:r>
      <w:r w:rsidR="00AB77DB">
        <w:t> </w:t>
      </w:r>
      <w:r w:rsidRPr="00B70801">
        <w:t xml:space="preserve">namawia nas do tego, abyśmy czerpali z tego źródła Bożej łaskawości. A nie da się godnie przyjąć </w:t>
      </w:r>
      <w:r w:rsidR="00712994">
        <w:t xml:space="preserve">Pana </w:t>
      </w:r>
      <w:r w:rsidRPr="00B70801">
        <w:t>Jezusa do serca bez świętej spowiedzi.</w:t>
      </w:r>
    </w:p>
    <w:p w:rsidR="00A2068D" w:rsidRPr="00B70801" w:rsidRDefault="0045631B" w:rsidP="00D21DC4">
      <w:pPr>
        <w:spacing w:line="360" w:lineRule="auto"/>
      </w:pPr>
      <w:r w:rsidRPr="00B70801">
        <w:t xml:space="preserve">Niewątpliwą wartością filmu jest to, że występują w nim ci, którzy rozmawiają z Matką Bożą. Poznajemy „widzących”, słyszymy ich głos, gdy opowiadają o doświadczeniu wielkiego szczęścia, gdy przekazują słowa Maryi. Poznajemy ich znajomych, a także kapłanów pracujących w </w:t>
      </w:r>
      <w:r w:rsidR="006D0697">
        <w:t xml:space="preserve">tamtejszej </w:t>
      </w:r>
      <w:r w:rsidRPr="00B70801">
        <w:t xml:space="preserve">parafii. Jeden z nich, franciszkanin, brat </w:t>
      </w:r>
      <w:proofErr w:type="spellStart"/>
      <w:r w:rsidRPr="00B70801">
        <w:t>Jozo</w:t>
      </w:r>
      <w:proofErr w:type="spellEnd"/>
      <w:r w:rsidRPr="00B70801">
        <w:t xml:space="preserve"> </w:t>
      </w:r>
      <w:proofErr w:type="spellStart"/>
      <w:r w:rsidRPr="00B70801">
        <w:t>Zovko</w:t>
      </w:r>
      <w:proofErr w:type="spellEnd"/>
      <w:r w:rsidR="006D0697">
        <w:t>,</w:t>
      </w:r>
      <w:r w:rsidRPr="00B70801">
        <w:t xml:space="preserve"> analizując orędzia </w:t>
      </w:r>
      <w:r w:rsidR="00F51347">
        <w:t>Matki Bożej</w:t>
      </w:r>
      <w:r w:rsidR="006D0697">
        <w:t>,</w:t>
      </w:r>
      <w:r w:rsidRPr="00B70801">
        <w:t xml:space="preserve"> powiedział, że widzi w nich „pięć kamieni do walki z diabłem”. Są to: codzienny różaniec odmawiany „z serca”; codzienna lektura fragmentu Pisma </w:t>
      </w:r>
      <w:r w:rsidR="006D0697">
        <w:t>Ś</w:t>
      </w:r>
      <w:r w:rsidRPr="00B70801">
        <w:t>więtego; szczera spowiedź, najlepiej raz w miesiącu; post</w:t>
      </w:r>
      <w:r w:rsidR="00F51347">
        <w:t xml:space="preserve"> o chlebie i wodzie</w:t>
      </w:r>
      <w:r w:rsidRPr="00B70801">
        <w:t>, najlepiej dwa razy w</w:t>
      </w:r>
      <w:r w:rsidR="00712994">
        <w:t> </w:t>
      </w:r>
      <w:r w:rsidRPr="00B70801">
        <w:t xml:space="preserve">tygodniu; i wreszcie Eucharystia – uczestnictwo we Mszy </w:t>
      </w:r>
      <w:r w:rsidR="006D0697">
        <w:t>Ś</w:t>
      </w:r>
      <w:r w:rsidRPr="00B70801">
        <w:t xml:space="preserve">więtej </w:t>
      </w:r>
      <w:r w:rsidR="00F51347">
        <w:t>oraz</w:t>
      </w:r>
      <w:r w:rsidRPr="00B70801">
        <w:t xml:space="preserve"> adoracja Jezusa obecnego w Najświętszym Sakramencie.</w:t>
      </w:r>
    </w:p>
    <w:p w:rsidR="00A2068D" w:rsidRPr="00B70801" w:rsidRDefault="0045631B" w:rsidP="00D21DC4">
      <w:pPr>
        <w:spacing w:line="360" w:lineRule="auto"/>
      </w:pPr>
      <w:r w:rsidRPr="00B70801">
        <w:t xml:space="preserve">Jest wiele osób, które nie wierzą w autentyczność objawień w </w:t>
      </w:r>
      <w:proofErr w:type="spellStart"/>
      <w:r w:rsidRPr="00B70801">
        <w:t>Med</w:t>
      </w:r>
      <w:r w:rsidR="00F51347">
        <w:t>zi</w:t>
      </w:r>
      <w:r w:rsidRPr="00B70801">
        <w:t>ugorje</w:t>
      </w:r>
      <w:proofErr w:type="spellEnd"/>
      <w:r w:rsidRPr="00B70801">
        <w:t xml:space="preserve">. I wcale nie trzeba nikogo </w:t>
      </w:r>
      <w:r w:rsidR="00712994">
        <w:t xml:space="preserve">do tego </w:t>
      </w:r>
      <w:r w:rsidRPr="00B70801">
        <w:t xml:space="preserve">przekonywać – ważne, by każdy wierzący, by każdy z nas wziął sobie mocno do serca to, że aby osiągnąć szczęście wieczne, trzeba się modlić, trzeba czytać </w:t>
      </w:r>
      <w:r w:rsidR="00D21DC4">
        <w:t>s</w:t>
      </w:r>
      <w:r w:rsidRPr="00B70801">
        <w:t xml:space="preserve">łowo Boże, trzeba mieć czystą duszę niesplamioną żadnym grzechem. Trzeba </w:t>
      </w:r>
      <w:r w:rsidR="00D21DC4">
        <w:t xml:space="preserve">też </w:t>
      </w:r>
      <w:r w:rsidRPr="00B70801">
        <w:t xml:space="preserve">wierzyć słowom Jezusa, który uczył, że diabła pokonuje się modlitwą i postem, dlatego słuchając Go, należy podejmować </w:t>
      </w:r>
      <w:r w:rsidR="00AB77DB">
        <w:t>te praktyki</w:t>
      </w:r>
      <w:r w:rsidRPr="00B70801">
        <w:t>. I wreszcie każdy, kto kocha Zbawiciela</w:t>
      </w:r>
      <w:r w:rsidR="00AB77DB">
        <w:t>,</w:t>
      </w:r>
      <w:r w:rsidRPr="00B70801">
        <w:t xml:space="preserve"> wie, że spotyka Go żywego w sakramencie Eucharystii. Przyjmijmy to przesłanie dla chwały Boga, na pożytek nasz i tych, których kochamy</w:t>
      </w:r>
      <w:r w:rsidR="00D21DC4">
        <w:t>,</w:t>
      </w:r>
      <w:r w:rsidRPr="00B70801">
        <w:t xml:space="preserve"> i dla pożytku całego Kościoła. Amen. </w:t>
      </w:r>
    </w:p>
    <w:sectPr w:rsidR="00A2068D" w:rsidRPr="00B70801" w:rsidSect="00AB77DB">
      <w:footerReference w:type="default" r:id="rId6"/>
      <w:pgSz w:w="11900" w:h="16840"/>
      <w:pgMar w:top="1417" w:right="1417" w:bottom="1417" w:left="1417" w:header="737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13" w:rsidRDefault="00460E13" w:rsidP="00A2068D">
      <w:r>
        <w:separator/>
      </w:r>
    </w:p>
  </w:endnote>
  <w:endnote w:type="continuationSeparator" w:id="0">
    <w:p w:rsidR="00460E13" w:rsidRDefault="00460E13" w:rsidP="00A2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52436"/>
      <w:docPartObj>
        <w:docPartGallery w:val="Page Numbers (Bottom of Page)"/>
        <w:docPartUnique/>
      </w:docPartObj>
    </w:sdtPr>
    <w:sdtContent>
      <w:p w:rsidR="00A2068D" w:rsidRDefault="00B70801" w:rsidP="00B70801">
        <w:pPr>
          <w:pStyle w:val="Stopka"/>
          <w:jc w:val="right"/>
          <w:rPr>
            <w:rFonts w:hint="eastAsia"/>
          </w:rPr>
        </w:pPr>
        <w:fldSimple w:instr=" PAGE   \* MERGEFORMAT ">
          <w:r w:rsidR="00AB77D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13" w:rsidRDefault="00460E13" w:rsidP="00A2068D">
      <w:r>
        <w:separator/>
      </w:r>
    </w:p>
  </w:footnote>
  <w:footnote w:type="continuationSeparator" w:id="0">
    <w:p w:rsidR="00460E13" w:rsidRDefault="00460E13" w:rsidP="00A20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68D"/>
    <w:rsid w:val="0045631B"/>
    <w:rsid w:val="00460E13"/>
    <w:rsid w:val="006D0697"/>
    <w:rsid w:val="00712994"/>
    <w:rsid w:val="0088659B"/>
    <w:rsid w:val="00A2068D"/>
    <w:rsid w:val="00AB77DB"/>
    <w:rsid w:val="00B70801"/>
    <w:rsid w:val="00D21DC4"/>
    <w:rsid w:val="00E161F4"/>
    <w:rsid w:val="00F5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068D"/>
    <w:pPr>
      <w:ind w:firstLine="340"/>
      <w:jc w:val="both"/>
    </w:pPr>
    <w:rPr>
      <w:rFonts w:ascii="Calibri" w:hAnsi="Calibri" w:cs="Arial Unicode MS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68D"/>
    <w:rPr>
      <w:u w:val="single"/>
    </w:rPr>
  </w:style>
  <w:style w:type="table" w:customStyle="1" w:styleId="TableNormal">
    <w:name w:val="Table Normal"/>
    <w:rsid w:val="00A20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206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agwek">
    <w:name w:val="header"/>
    <w:basedOn w:val="Normalny"/>
    <w:link w:val="NagwekZnak"/>
    <w:uiPriority w:val="99"/>
    <w:semiHidden/>
    <w:unhideWhenUsed/>
    <w:rsid w:val="00B7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801"/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70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801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4</cp:revision>
  <dcterms:created xsi:type="dcterms:W3CDTF">2022-10-05T17:12:00Z</dcterms:created>
  <dcterms:modified xsi:type="dcterms:W3CDTF">2022-10-05T18:59:00Z</dcterms:modified>
</cp:coreProperties>
</file>